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2" w:rsidRPr="00921542" w:rsidRDefault="002B5119" w:rsidP="009215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7A5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при подготовке к публичным слушаниям и заданные на пу</w:t>
      </w:r>
      <w:r w:rsidR="007A54FC">
        <w:rPr>
          <w:rFonts w:ascii="Times New Roman" w:hAnsi="Times New Roman" w:cs="Times New Roman"/>
          <w:sz w:val="28"/>
          <w:szCs w:val="28"/>
        </w:rPr>
        <w:t>бличных слушаниях 21.12.2017 г.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425"/>
        <w:gridCol w:w="4537"/>
        <w:gridCol w:w="5103"/>
      </w:tblGrid>
      <w:tr w:rsidR="002B5119" w:rsidRPr="007A54FC" w:rsidTr="002B5119">
        <w:tc>
          <w:tcPr>
            <w:tcW w:w="425" w:type="dxa"/>
            <w:vAlign w:val="center"/>
          </w:tcPr>
          <w:p w:rsidR="002B5119" w:rsidRPr="007A54FC" w:rsidRDefault="002B5119" w:rsidP="00C3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vAlign w:val="center"/>
          </w:tcPr>
          <w:p w:rsidR="002B5119" w:rsidRPr="007A54FC" w:rsidRDefault="002B5119" w:rsidP="0092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F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2B5119" w:rsidRPr="007A54FC" w:rsidRDefault="002B5119" w:rsidP="0072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F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B5119" w:rsidRPr="00662BD5" w:rsidTr="002B5119">
        <w:tc>
          <w:tcPr>
            <w:tcW w:w="425" w:type="dxa"/>
          </w:tcPr>
          <w:p w:rsidR="002B5119" w:rsidRPr="00662BD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662BD5" w:rsidRDefault="002B5119" w:rsidP="0067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участие инспектора Ростехнадзора при приемке объектов газоснабжения подключаемых к сетям низкого давления газа до 0,005 МПа. </w:t>
            </w:r>
          </w:p>
          <w:p w:rsidR="002B5119" w:rsidRPr="00662BD5" w:rsidRDefault="002B5119" w:rsidP="0067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5119" w:rsidRPr="00662BD5" w:rsidRDefault="002B5119" w:rsidP="00F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Да, требуется. Приемка сетей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давления природного газа, будь то низкое, среднее или высокое, осуществляется комиссией, в которую входит представитель Ростехнадзора в соответствии с разделом X Технического регламента о безопасности сетей газораспределения и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РФ от 29.10.2010 № 870</w:t>
            </w:r>
          </w:p>
        </w:tc>
      </w:tr>
      <w:tr w:rsidR="002B5119" w:rsidRPr="00584885" w:rsidTr="002B5119">
        <w:trPr>
          <w:trHeight w:val="3126"/>
        </w:trPr>
        <w:tc>
          <w:tcPr>
            <w:tcW w:w="425" w:type="dxa"/>
          </w:tcPr>
          <w:p w:rsidR="002B5119" w:rsidRPr="00A625DB" w:rsidRDefault="002B5119" w:rsidP="00A625D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A625DB" w:rsidRDefault="002B5119" w:rsidP="00A6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DB">
              <w:rPr>
                <w:rFonts w:ascii="Times New Roman" w:hAnsi="Times New Roman" w:cs="Times New Roman"/>
                <w:sz w:val="24"/>
                <w:szCs w:val="24"/>
              </w:rPr>
              <w:t>Возможна ли аттестация специалистов в других территориальных управлениях  и их дальнейшая работа в организациях поднадзорных Приволжскому управлению Ростехнадзора.</w:t>
            </w:r>
          </w:p>
        </w:tc>
        <w:tc>
          <w:tcPr>
            <w:tcW w:w="5103" w:type="dxa"/>
          </w:tcPr>
          <w:p w:rsidR="002B5119" w:rsidRPr="00A625DB" w:rsidRDefault="002B5119" w:rsidP="00E679A0">
            <w:pPr>
              <w:pStyle w:val="headertext"/>
              <w:spacing w:before="0" w:beforeAutospacing="0" w:after="120" w:afterAutospacing="0"/>
              <w:jc w:val="both"/>
            </w:pPr>
            <w:r w:rsidRPr="00A625DB">
              <w:rPr>
                <w:bCs/>
              </w:rPr>
              <w:t>В соответствии с п.8 Положения об организации работы аттестационных комиссий Федеральной службы по экологическому, технологическому и атомному надзору, утв. Приказом Ростехнадзора</w:t>
            </w:r>
            <w:r w:rsidRPr="00A625DB">
              <w:rPr>
                <w:b/>
                <w:bCs/>
              </w:rPr>
              <w:t xml:space="preserve"> </w:t>
            </w:r>
            <w:r w:rsidRPr="00A625DB">
              <w:t>от 12 июля 2010 года N 591</w:t>
            </w:r>
            <w:r w:rsidRPr="00A625DB">
              <w:rPr>
                <w:bCs/>
              </w:rPr>
              <w:t xml:space="preserve"> </w:t>
            </w:r>
            <w:r w:rsidRPr="00A625DB">
              <w:t>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организаций, в которых работают аттестуемые. Любой территориальный орган Ростехнадзора может через комплексную систему информатизации Ростехнадзора получить информацию об аттестации.</w:t>
            </w:r>
          </w:p>
        </w:tc>
      </w:tr>
      <w:tr w:rsidR="002B5119" w:rsidRPr="00662BD5" w:rsidTr="002B5119">
        <w:tc>
          <w:tcPr>
            <w:tcW w:w="425" w:type="dxa"/>
          </w:tcPr>
          <w:p w:rsidR="002B5119" w:rsidRPr="00662BD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662BD5" w:rsidRDefault="002B5119" w:rsidP="005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Будут ли подвергнуты проверкам Ростехнадзора организации эксплуатирующие сети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 на низком давлении газа до 0,005 МПа. </w:t>
            </w:r>
          </w:p>
          <w:p w:rsidR="002B5119" w:rsidRPr="00662BD5" w:rsidRDefault="002B5119" w:rsidP="005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5119" w:rsidRPr="00662BD5" w:rsidRDefault="002B5119" w:rsidP="005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Да, будут. Сети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эксплуатируемые на низком давлении природного газа являются объектами регулирования Технического регламента о безопасности сетей газораспределения и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Правительства РФ от 29.10.2010 № 870. В соответствии с подпунктом «в» пункта 88 данного Технического регламента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оценка сетей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настоящего технического регламента, а именно в процессе эксплуатации сетей </w:t>
            </w:r>
            <w:proofErr w:type="spellStart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62B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государственный контроль (надзор).</w:t>
            </w:r>
          </w:p>
        </w:tc>
      </w:tr>
      <w:tr w:rsidR="002B5119" w:rsidRPr="00964D32" w:rsidTr="002B5119">
        <w:tc>
          <w:tcPr>
            <w:tcW w:w="425" w:type="dxa"/>
          </w:tcPr>
          <w:p w:rsidR="002B5119" w:rsidRPr="00964D32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964D32" w:rsidRDefault="002B5119" w:rsidP="006010A1">
            <w:pPr>
              <w:jc w:val="both"/>
              <w:rPr>
                <w:sz w:val="24"/>
                <w:szCs w:val="24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– генподрядчик планирует привлечь  к монтажу системы газового анализа входящую в систему противоаварийной  защиты опасного производ</w:t>
            </w:r>
            <w:r w:rsidR="005D67C1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объекта субподрядчика</w:t>
            </w: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имеющего СРО, так </w:t>
            </w: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ссылаются на ст.52 ч.2.1. ФЗ №372 ОТ 03.07.2016г. позволяющую выполнять работы по договорам, не превышающим трех миллионов рублей по одному из договоров, без наличия СРО.</w:t>
            </w:r>
          </w:p>
        </w:tc>
        <w:tc>
          <w:tcPr>
            <w:tcW w:w="5103" w:type="dxa"/>
          </w:tcPr>
          <w:p w:rsidR="002B5119" w:rsidRPr="00964D32" w:rsidRDefault="002B5119" w:rsidP="00601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законодательство о саморегулировании в сфере строительства Федеральным  законом  от 03.07.2016г. № 372 « О внесений изменений в Градостроительный кодекс Российской Федерации и отдельные законодательные акты Российской Федерации» внесены </w:t>
            </w: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существенные изменения. Перечень организаций и ИП, для которых членство </w:t>
            </w:r>
            <w:proofErr w:type="spellStart"/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– обязанность, был сокращен. Теперь вступление обязательно только для:</w:t>
            </w:r>
          </w:p>
          <w:p w:rsidR="002B5119" w:rsidRPr="00964D32" w:rsidRDefault="002B5119" w:rsidP="00601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-организаций, осуществляющих строительство, реконструкцию, капитальный ремонт  объектов капитального строительства (ОКС) по договору с  застройщиком или техническим заказчиком, лицом, осуществляющим эксплуатацию здания, региональным оператором, если размер обязательств по каждому из договоров строительного подряда превышает 3 млн. рублей.</w:t>
            </w:r>
          </w:p>
          <w:p w:rsidR="002B5119" w:rsidRPr="00964D32" w:rsidRDefault="002B5119" w:rsidP="00601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>Необязательное членство в СРО:</w:t>
            </w:r>
          </w:p>
          <w:p w:rsidR="002B5119" w:rsidRPr="00964D32" w:rsidRDefault="002B5119" w:rsidP="00601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если размер обязательств по договору строительного подряда не превышает 3 млн.рублей.  (часть 2.1. статьи 52 </w:t>
            </w:r>
            <w:proofErr w:type="spellStart"/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в редакции 372-ФЗ). </w:t>
            </w:r>
          </w:p>
          <w:p w:rsidR="002B5119" w:rsidRPr="00964D32" w:rsidRDefault="002B5119" w:rsidP="006010A1">
            <w:pPr>
              <w:shd w:val="clear" w:color="auto" w:fill="FFFFFF"/>
              <w:jc w:val="both"/>
              <w:rPr>
                <w:rFonts w:eastAsia="Times New Roman" w:cs="Helvetica"/>
                <w:color w:val="000000"/>
                <w:sz w:val="24"/>
                <w:szCs w:val="24"/>
                <w:lang w:eastAsia="ru-RU"/>
              </w:rPr>
            </w:pPr>
            <w:r w:rsidRPr="0096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Инженерно –технические работники генподрядчика (субподрядчика) должны быть аттестованы в области промышленной безопасности.</w:t>
            </w:r>
          </w:p>
        </w:tc>
      </w:tr>
      <w:tr w:rsidR="002B5119" w:rsidRPr="00145C55" w:rsidTr="002B5119">
        <w:tc>
          <w:tcPr>
            <w:tcW w:w="425" w:type="dxa"/>
          </w:tcPr>
          <w:p w:rsidR="002B5119" w:rsidRPr="00145C5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145C55" w:rsidRDefault="002B5119" w:rsidP="0060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55">
              <w:rPr>
                <w:rFonts w:ascii="Times New Roman" w:hAnsi="Times New Roman" w:cs="Times New Roman"/>
                <w:sz w:val="24"/>
                <w:szCs w:val="24"/>
              </w:rPr>
              <w:t>Имеется ли необходимость участия инспектора в комиссии по приемке фасадных газопроводов жилых зданий?</w:t>
            </w:r>
          </w:p>
          <w:p w:rsidR="002B5119" w:rsidRPr="00145C55" w:rsidRDefault="002B5119" w:rsidP="00601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5119" w:rsidRPr="00145C55" w:rsidRDefault="002B5119" w:rsidP="006010A1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45C5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Да, имеется. Исходя из терминологии, приведенной в пункте 7 </w:t>
            </w:r>
            <w:r w:rsidRPr="00145C55">
              <w:rPr>
                <w:b w:val="0"/>
                <w:sz w:val="24"/>
                <w:szCs w:val="24"/>
              </w:rPr>
              <w:t xml:space="preserve">Технического регламента о безопасности сетей газораспределения и </w:t>
            </w:r>
            <w:proofErr w:type="spellStart"/>
            <w:r w:rsidRPr="00145C55">
              <w:rPr>
                <w:b w:val="0"/>
                <w:sz w:val="24"/>
                <w:szCs w:val="24"/>
              </w:rPr>
              <w:t>газопотребления</w:t>
            </w:r>
            <w:proofErr w:type="spellEnd"/>
            <w:r w:rsidRPr="00145C55">
              <w:rPr>
                <w:b w:val="0"/>
                <w:sz w:val="24"/>
                <w:szCs w:val="24"/>
              </w:rPr>
              <w:t>, утвержденного постановлением Правительства РФ от 29.10.2010 № 870</w:t>
            </w:r>
            <w:r w:rsidRPr="00145C5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наружные газопроводы до отключающего устройства перед вводом в жилое здание входят в состав сети газораспределения.</w:t>
            </w:r>
          </w:p>
        </w:tc>
      </w:tr>
      <w:tr w:rsidR="002B5119" w:rsidRPr="00584885" w:rsidTr="002B5119">
        <w:tc>
          <w:tcPr>
            <w:tcW w:w="425" w:type="dxa"/>
          </w:tcPr>
          <w:p w:rsidR="002B5119" w:rsidRPr="00E679A0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E679A0" w:rsidRDefault="002B5119" w:rsidP="006010A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79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Вопрос по </w:t>
            </w:r>
            <w:proofErr w:type="spellStart"/>
            <w:r w:rsidRPr="00E679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электролабораториям</w:t>
            </w:r>
            <w:proofErr w:type="spellEnd"/>
            <w:r w:rsidRPr="00E679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B5119" w:rsidRPr="00E679A0" w:rsidRDefault="002B5119" w:rsidP="006010A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Возник недавно такой вопрос — территория действия этого свидетельства вся Россия ли нет? И где это прописано? Потому что на самом свидетельстве нет отметки ни подтверждающей ни опровергающей. Большинство специалистов, имеющих отношение к теме </w:t>
            </w:r>
            <w:proofErr w:type="spellStart"/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электроизмерений</w:t>
            </w:r>
            <w:proofErr w:type="spellEnd"/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считают, что действует по всей РФ. И это логично, если допусти в разных городах объекты, не регистрировать же везде ЭТЛ и получать десять разных свидетельств. Что вы по этому поводу думаете? И второй вопрос, иногда у заказчиков вижу в требованиях, что ЭТЛ должна быть зарегистрирована в таком-то регионе (по месту выполнения </w:t>
            </w:r>
            <w:proofErr w:type="spellStart"/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электроизмерений</w:t>
            </w:r>
            <w:proofErr w:type="spellEnd"/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это в тендерах бывает иногда, так вот, на какие документы опереться чтобы </w:t>
            </w:r>
            <w:r w:rsidRPr="00E67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указать заказчику на незаконность этих требований?</w:t>
            </w:r>
          </w:p>
        </w:tc>
        <w:tc>
          <w:tcPr>
            <w:tcW w:w="5103" w:type="dxa"/>
          </w:tcPr>
          <w:p w:rsidR="002B5119" w:rsidRPr="00E679A0" w:rsidRDefault="002B5119" w:rsidP="00964D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E679A0">
              <w:rPr>
                <w:color w:val="333333"/>
              </w:rPr>
              <w:lastRenderedPageBreak/>
              <w:t xml:space="preserve">Свидетельство (решение) о регистрации ЭТЛ действует на всей территории РФ. Сказано об этом в п.10 Методических рекомендаций о порядке допуска в эксплуатацию электроустановок для производства испытаний (измерений) – </w:t>
            </w:r>
            <w:proofErr w:type="spellStart"/>
            <w:r w:rsidRPr="00E679A0">
              <w:rPr>
                <w:color w:val="333333"/>
              </w:rPr>
              <w:t>электролабораторий</w:t>
            </w:r>
            <w:proofErr w:type="spellEnd"/>
            <w:r w:rsidRPr="00E679A0">
              <w:rPr>
                <w:color w:val="333333"/>
              </w:rPr>
              <w:t xml:space="preserve">. </w:t>
            </w:r>
          </w:p>
          <w:p w:rsidR="002B5119" w:rsidRPr="00E679A0" w:rsidRDefault="002B5119" w:rsidP="00964D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E679A0">
              <w:rPr>
                <w:color w:val="333333"/>
              </w:rPr>
              <w:t xml:space="preserve"> По поводу места регистрации. В тех же методических рекомендациях, п.7. Оформление регистрационного свидетельства производится в территориальном Управлении по месту регистрации юридического лица или индивидуального предпринимателя.</w:t>
            </w:r>
          </w:p>
          <w:p w:rsidR="002B5119" w:rsidRPr="00E679A0" w:rsidRDefault="002B5119" w:rsidP="00964D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E679A0">
              <w:rPr>
                <w:color w:val="333333"/>
              </w:rPr>
              <w:t>Список действующих ЭТЛ можно уточнить на официальном сайте Приволжского управления.</w:t>
            </w:r>
          </w:p>
          <w:p w:rsidR="002B5119" w:rsidRPr="00E679A0" w:rsidRDefault="002B5119" w:rsidP="00964D3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5119" w:rsidRPr="00145C55" w:rsidTr="002B5119">
        <w:tc>
          <w:tcPr>
            <w:tcW w:w="425" w:type="dxa"/>
          </w:tcPr>
          <w:p w:rsidR="002B5119" w:rsidRPr="00145C5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7A54FC" w:rsidRDefault="002B5119" w:rsidP="006010A1">
            <w:pPr>
              <w:pStyle w:val="1"/>
              <w:shd w:val="clear" w:color="auto" w:fill="FFFFFF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A54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 предприятии котлы были заменены на аналогичные. Является ли данная замена техническим перевооружением ОПО?</w:t>
            </w:r>
          </w:p>
        </w:tc>
        <w:tc>
          <w:tcPr>
            <w:tcW w:w="5103" w:type="dxa"/>
          </w:tcPr>
          <w:p w:rsidR="002B5119" w:rsidRPr="00145C55" w:rsidRDefault="002B5119" w:rsidP="006010A1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E679A0">
              <w:rPr>
                <w:b w:val="0"/>
                <w:sz w:val="24"/>
                <w:szCs w:val="24"/>
                <w:shd w:val="clear" w:color="auto" w:fill="FFFFFF"/>
              </w:rPr>
              <w:t xml:space="preserve">Нет, согласно </w:t>
            </w:r>
            <w:r w:rsidRPr="00E679A0">
              <w:rPr>
                <w:b w:val="0"/>
                <w:sz w:val="24"/>
                <w:szCs w:val="24"/>
              </w:rPr>
              <w:t xml:space="preserve">Федерального закона от 21.07.1997 г. № 116-ФЗ «О промышленной безопасности опасных производственных объектов» (с последующими изменениями и дополнениями), </w:t>
            </w:r>
            <w:r w:rsidRPr="00E679A0">
              <w:rPr>
                <w:b w:val="0"/>
                <w:sz w:val="24"/>
                <w:szCs w:val="24"/>
                <w:shd w:val="clear" w:color="auto" w:fill="FFFFFF"/>
              </w:rPr>
              <w:t>техническое перевооружение опасного производственного объекта это работы, приводящие к изменению технологического процесса на опасном производственном объекте, внедрение новой технологии, автоматизация опасного производственного объекта или его отдельных частей, модернизация. В данном случае необходимо рассматривать эти работы как капитальный ремонт.</w:t>
            </w:r>
          </w:p>
        </w:tc>
      </w:tr>
      <w:tr w:rsidR="002B5119" w:rsidRPr="00584885" w:rsidTr="002B5119">
        <w:tc>
          <w:tcPr>
            <w:tcW w:w="425" w:type="dxa"/>
          </w:tcPr>
          <w:p w:rsidR="002B5119" w:rsidRPr="00E679A0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E679A0" w:rsidRDefault="002B5119" w:rsidP="00A62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79A0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Правил технологического присоединения </w:t>
            </w:r>
            <w:proofErr w:type="spellStart"/>
            <w:r w:rsidRPr="00E679A0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E679A0"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E679A0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E679A0">
              <w:rPr>
                <w:rFonts w:ascii="Times New Roman" w:hAnsi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N 861 (далее – Правила),  в случае технологического присоединения ряда   объектов потребителей электрической энергии получение разрешения органа федерального государственного энергетического надзора на допуск в эксплуатацию объектов заявителя  не  требуется. Но в связи с тем, что в малом и среднем бизнесе часто отсутствуют специалисты энергетического профиля,  допускается ли осмотр указанных энергоустановок  представителями Ростехнадзора с выдачей разрешения на допуск в эксплуатацию энергоустановок.</w:t>
            </w:r>
          </w:p>
        </w:tc>
        <w:tc>
          <w:tcPr>
            <w:tcW w:w="5103" w:type="dxa"/>
          </w:tcPr>
          <w:p w:rsidR="002B5119" w:rsidRPr="00E679A0" w:rsidRDefault="002B5119" w:rsidP="00E679A0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E679A0">
              <w:rPr>
                <w:b w:val="0"/>
                <w:sz w:val="24"/>
                <w:szCs w:val="24"/>
                <w:shd w:val="clear" w:color="auto" w:fill="FFFFFF"/>
              </w:rPr>
              <w:t xml:space="preserve">В случае добровольного обращения в </w:t>
            </w:r>
            <w:proofErr w:type="spellStart"/>
            <w:r w:rsidRPr="00E679A0">
              <w:rPr>
                <w:b w:val="0"/>
                <w:sz w:val="24"/>
                <w:szCs w:val="24"/>
                <w:shd w:val="clear" w:color="auto" w:fill="FFFFFF"/>
              </w:rPr>
              <w:t>Ростехнадзор</w:t>
            </w:r>
            <w:proofErr w:type="spellEnd"/>
            <w:r w:rsidRPr="00E679A0">
              <w:rPr>
                <w:b w:val="0"/>
                <w:sz w:val="24"/>
                <w:szCs w:val="24"/>
                <w:shd w:val="clear" w:color="auto" w:fill="FFFFFF"/>
              </w:rPr>
              <w:t xml:space="preserve"> заявителя, для которого действует уведомительный порядок согласования допуска к эксплуатации присоединяемых объектов, осмотр электроустановки может проводиться по решению руководителя (заместителя руководителя) территориального органа Ростехнадзора, с целью определения соответствия электроустановки правилам безопасности, установленным нормативными правовыми  актами. Согласно п.15 Правил при этом оформляется акт о соответствии (не соответствии)  энергоустановок требованиям, разрешение на допуск не оформляется.   </w:t>
            </w:r>
          </w:p>
          <w:p w:rsidR="002B5119" w:rsidRPr="00E679A0" w:rsidRDefault="002B5119" w:rsidP="00C911CC">
            <w:pPr>
              <w:pStyle w:val="a5"/>
              <w:shd w:val="clear" w:color="auto" w:fill="FFFFFF"/>
              <w:spacing w:before="150" w:beforeAutospacing="0" w:after="150" w:afterAutospacing="0"/>
              <w:ind w:right="75"/>
              <w:textAlignment w:val="baseline"/>
              <w:rPr>
                <w:color w:val="333333"/>
              </w:rPr>
            </w:pPr>
          </w:p>
        </w:tc>
      </w:tr>
      <w:tr w:rsidR="002B5119" w:rsidRPr="00584885" w:rsidTr="002B5119">
        <w:tc>
          <w:tcPr>
            <w:tcW w:w="425" w:type="dxa"/>
          </w:tcPr>
          <w:p w:rsidR="002B5119" w:rsidRPr="00A625DB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E679A0" w:rsidRDefault="002B5119" w:rsidP="00504D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9A0">
              <w:rPr>
                <w:rFonts w:ascii="Times New Roman" w:hAnsi="Times New Roman" w:cs="Times New Roman"/>
                <w:sz w:val="24"/>
                <w:szCs w:val="28"/>
              </w:rPr>
              <w:t xml:space="preserve">Каким образом можно снять с учета в </w:t>
            </w:r>
            <w:proofErr w:type="spellStart"/>
            <w:r w:rsidRPr="00E679A0">
              <w:rPr>
                <w:rFonts w:ascii="Times New Roman" w:hAnsi="Times New Roman" w:cs="Times New Roman"/>
                <w:sz w:val="24"/>
                <w:szCs w:val="28"/>
              </w:rPr>
              <w:t>Ростехнадзоре</w:t>
            </w:r>
            <w:proofErr w:type="spellEnd"/>
            <w:r w:rsidRPr="00E679A0">
              <w:rPr>
                <w:rFonts w:ascii="Times New Roman" w:hAnsi="Times New Roman" w:cs="Times New Roman"/>
                <w:sz w:val="24"/>
                <w:szCs w:val="28"/>
              </w:rPr>
              <w:t xml:space="preserve"> сосуды под давлением? В федеральных нормах и правилах данная процедура не предусмотрена.</w:t>
            </w:r>
          </w:p>
          <w:p w:rsidR="002B5119" w:rsidRPr="00E679A0" w:rsidRDefault="002B5119" w:rsidP="00504D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2B5119" w:rsidRPr="00A625DB" w:rsidRDefault="002B5119" w:rsidP="00A6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сегодняшний день снятие с учета сосудов происходит при исключении ОПО из </w:t>
            </w:r>
            <w:proofErr w:type="spellStart"/>
            <w:r w:rsidRPr="00E679A0">
              <w:rPr>
                <w:rFonts w:ascii="Times New Roman" w:eastAsia="Calibri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E6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при внесении изменений в сведения характеризующие ОПО на основании документов представленных предприятием в соответствии с Административным регламентом по предоставлению Федеральной службой по экологическому, технологическому и атомному надзору государственной услуги по регистрации </w:t>
            </w:r>
            <w:r w:rsidRPr="00E67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опасных производственных объектов в государственном реестре опасных производственных объектов, утверждённого приказом Ростехнадзора от 25 ноября 2016 г. № 494</w:t>
            </w:r>
          </w:p>
        </w:tc>
      </w:tr>
      <w:tr w:rsidR="002B5119" w:rsidRPr="00145C55" w:rsidTr="002B5119">
        <w:tc>
          <w:tcPr>
            <w:tcW w:w="425" w:type="dxa"/>
          </w:tcPr>
          <w:p w:rsidR="002B5119" w:rsidRPr="00145C5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E679A0" w:rsidRDefault="002B5119" w:rsidP="00132072">
            <w:pPr>
              <w:pStyle w:val="1"/>
              <w:shd w:val="clear" w:color="auto" w:fill="FFFFFF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79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 предприятии имеется опасный производственный объект на котором было демонтировано техническое устройство (ГРП). Необходимо ли проведение экспертизы промышленной безопасности на ликвидацию части опасного производственного объекта?</w:t>
            </w:r>
          </w:p>
        </w:tc>
        <w:tc>
          <w:tcPr>
            <w:tcW w:w="5103" w:type="dxa"/>
          </w:tcPr>
          <w:p w:rsidR="002B5119" w:rsidRPr="00145C55" w:rsidRDefault="002B5119" w:rsidP="00504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E679A0">
              <w:rPr>
                <w:b w:val="0"/>
                <w:sz w:val="24"/>
                <w:szCs w:val="24"/>
                <w:shd w:val="clear" w:color="auto" w:fill="FFFFFF"/>
              </w:rPr>
              <w:t xml:space="preserve">Да, необходимо. Согласно </w:t>
            </w:r>
            <w:r w:rsidRPr="00E679A0">
              <w:rPr>
                <w:b w:val="0"/>
                <w:sz w:val="24"/>
                <w:szCs w:val="24"/>
              </w:rPr>
              <w:t xml:space="preserve">Федерального закона от 21.07.1997 г. № 116-ФЗ «О промышленной безопасности опасных производственных объектов» (с последующими изменениями и дополнениями) </w:t>
            </w:r>
            <w:r w:rsidRPr="00E679A0">
              <w:rPr>
                <w:b w:val="0"/>
                <w:sz w:val="24"/>
                <w:szCs w:val="24"/>
                <w:shd w:val="clear" w:color="auto" w:fill="FFFFFF"/>
              </w:rPr>
              <w:t xml:space="preserve">экспертизе промышленной безопасности подлежит: </w:t>
            </w:r>
            <w:r w:rsidRPr="00E679A0">
              <w:rPr>
                <w:b w:val="0"/>
                <w:sz w:val="24"/>
                <w:szCs w:val="24"/>
              </w:rPr>
              <w:t>документация на консервацию, ликвидацию опасного производственного объекта</w:t>
            </w:r>
            <w:bookmarkStart w:id="0" w:name="dst134"/>
            <w:bookmarkEnd w:id="0"/>
            <w:r w:rsidRPr="00E679A0">
              <w:rPr>
                <w:b w:val="0"/>
                <w:sz w:val="24"/>
                <w:szCs w:val="24"/>
              </w:rPr>
              <w:t>, а так же документация на техническое перевооружение опасного производственного объекта.</w:t>
            </w:r>
          </w:p>
        </w:tc>
      </w:tr>
      <w:tr w:rsidR="002B5119" w:rsidRPr="00584885" w:rsidTr="002B5119">
        <w:tc>
          <w:tcPr>
            <w:tcW w:w="425" w:type="dxa"/>
          </w:tcPr>
          <w:p w:rsidR="002B5119" w:rsidRPr="00B1717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B17175" w:rsidRDefault="002B5119" w:rsidP="005B0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образом можно внести изменения в реестр ОПО и какой пакет документов необходимо предоставить для понижения класса опасности опасного производственного объекта?</w:t>
            </w:r>
          </w:p>
        </w:tc>
        <w:tc>
          <w:tcPr>
            <w:tcW w:w="5103" w:type="dxa"/>
          </w:tcPr>
          <w:p w:rsidR="002B5119" w:rsidRPr="00B17175" w:rsidRDefault="002B5119" w:rsidP="00F15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75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представления соответствующего пакета документов для внесения изменений в государственный реестр ОПО в соответствии с требованиями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утверждённого приказом Ростехнадзора от 25 ноября 2016 г. № 494 с представлением документов подтверждающих изменения на объекте приведших к понижение класса опасности (изменение количества опасного вещества, техническое перевооружение объекта, изменение состава ОПО и т.д.).</w:t>
            </w:r>
          </w:p>
        </w:tc>
      </w:tr>
      <w:tr w:rsidR="002B5119" w:rsidRPr="00145C55" w:rsidTr="002B5119">
        <w:tc>
          <w:tcPr>
            <w:tcW w:w="425" w:type="dxa"/>
          </w:tcPr>
          <w:p w:rsidR="002B5119" w:rsidRPr="00145C5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145C55" w:rsidRDefault="002B5119" w:rsidP="00AF55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проведении проверки инспектором выявлены нарушения, связанные с несоответствием заключения ЭПБ фактическому состоянию оборудования. Инспектор выдает предписание об исключении заключения из реестра. В то же время Административный регламент не предусматривает исключение заключения из реестра по заявлению заказчика в связи с выявленными нарушениями госинспектора. С одной стороны, конечно, заказчик должен следить за результатом работы экспертной организации, тем более, что </w:t>
            </w:r>
            <w:proofErr w:type="spellStart"/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Ростехнадзор</w:t>
            </w:r>
            <w:proofErr w:type="spellEnd"/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может рассматривать заключение при регистрации. А с другой стороны, может быть внести изменения в административный регламент, тогда действия организации были бы четко </w:t>
            </w:r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определены?</w:t>
            </w:r>
          </w:p>
        </w:tc>
        <w:tc>
          <w:tcPr>
            <w:tcW w:w="5103" w:type="dxa"/>
          </w:tcPr>
          <w:p w:rsidR="002B5119" w:rsidRPr="00145C55" w:rsidRDefault="002B5119" w:rsidP="00B0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Согласно разъяснений Ростехнадзора от 27.03.2017 № 11-00-16/1155 при несоответствии </w:t>
            </w:r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заключения ЭПБ фактическому состоянию оборудования инспектор обязан составить протокол об административном правонарушении и постановление в отношении экспертной организации (эксперта)</w:t>
            </w:r>
            <w:r w:rsidR="00B3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которые могут являться основанием для исключения заключения экспертизы из реестра. Таким образом</w:t>
            </w:r>
            <w:r w:rsidR="00B3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4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 ч.6 ст. 13 ФЗ «О промышленной безопасности ОПО» об исключении заведомо ложного заключения экспертизы из реестра подлежит применению безотносительно наличия специального указания на это в подзаконном акте (административном регламенте)</w:t>
            </w:r>
            <w:r w:rsidR="00B3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5119" w:rsidRPr="00584885" w:rsidTr="00404B2A">
        <w:trPr>
          <w:trHeight w:val="3109"/>
        </w:trPr>
        <w:tc>
          <w:tcPr>
            <w:tcW w:w="425" w:type="dxa"/>
          </w:tcPr>
          <w:p w:rsidR="002B5119" w:rsidRPr="00907E3B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907E3B" w:rsidRDefault="002B5119" w:rsidP="00AF55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Положение о лицензировании деятельности по проведению экспертизы промышленной безопасности внесены изменения. Теперь требуется наличие у экспертной организации трех экспертов, для которых эта работа является основной. Многие прошли лицензирование с одним экспертом в штате. Будет ли </w:t>
            </w:r>
            <w:proofErr w:type="spellStart"/>
            <w:r w:rsidRPr="00907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Ростехнадзор</w:t>
            </w:r>
            <w:proofErr w:type="spellEnd"/>
            <w:r w:rsidRPr="00907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требовать переоформления или аннулирования ранее выданных лицензий?</w:t>
            </w:r>
          </w:p>
        </w:tc>
        <w:tc>
          <w:tcPr>
            <w:tcW w:w="5103" w:type="dxa"/>
          </w:tcPr>
          <w:p w:rsidR="002B5119" w:rsidRPr="007A54FC" w:rsidRDefault="002B5119" w:rsidP="007A54FC">
            <w:pPr>
              <w:pStyle w:val="headertext"/>
              <w:spacing w:after="240" w:afterAutospacing="0"/>
              <w:rPr>
                <w:rFonts w:eastAsia="Calibri"/>
              </w:rPr>
            </w:pPr>
            <w:r w:rsidRPr="007A54FC">
              <w:rPr>
                <w:rFonts w:eastAsia="Calibri"/>
              </w:rPr>
              <w:t xml:space="preserve">Экспертные организации, имеющие лицензию на осуществление вида </w:t>
            </w:r>
            <w:r w:rsidRPr="007A54FC">
              <w:rPr>
                <w:shd w:val="clear" w:color="auto" w:fill="FFFFFF"/>
              </w:rPr>
              <w:t>деятельности по проведению экспертизы промышленной безопасности</w:t>
            </w:r>
            <w:r w:rsidR="007A54FC" w:rsidRPr="007A54FC">
              <w:rPr>
                <w:rFonts w:eastAsia="Calibri"/>
              </w:rPr>
              <w:t xml:space="preserve">  должны выполнить требования П</w:t>
            </w:r>
            <w:r w:rsidRPr="007A54FC">
              <w:rPr>
                <w:rFonts w:eastAsia="Calibri"/>
              </w:rPr>
              <w:t>оложения о лицензировании</w:t>
            </w:r>
            <w:r w:rsidR="00404B2A" w:rsidRPr="007A54FC">
              <w:rPr>
                <w:rFonts w:eastAsia="Calibri"/>
              </w:rPr>
              <w:t xml:space="preserve"> деятельности </w:t>
            </w:r>
            <w:r w:rsidR="007A54FC" w:rsidRPr="007A54FC">
              <w:rPr>
                <w:rFonts w:eastAsia="Calibri"/>
              </w:rPr>
              <w:t xml:space="preserve">по проведению экспертизы промышленной безопасности, утвержденного </w:t>
            </w:r>
            <w:r w:rsidR="007A54FC" w:rsidRPr="007A54FC">
              <w:t>постановлением Правительства Российской Федерации</w:t>
            </w:r>
            <w:r w:rsidR="007A54FC" w:rsidRPr="007A54FC">
              <w:br/>
              <w:t>от 4 июля 2012 года N 682</w:t>
            </w:r>
            <w:r w:rsidRPr="007A54FC">
              <w:rPr>
                <w:rFonts w:eastAsia="Calibri"/>
              </w:rPr>
              <w:t>.</w:t>
            </w:r>
          </w:p>
        </w:tc>
      </w:tr>
      <w:tr w:rsidR="002B5119" w:rsidRPr="00584885" w:rsidTr="002B5119">
        <w:tc>
          <w:tcPr>
            <w:tcW w:w="425" w:type="dxa"/>
          </w:tcPr>
          <w:p w:rsidR="002B5119" w:rsidRPr="00945493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945493" w:rsidRDefault="002B5119" w:rsidP="00861B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Можно ли снять с регистрации ОПО, не дожидаясь пока новый собственник зарегистрирует его в реестре ОПО? </w:t>
            </w:r>
          </w:p>
          <w:p w:rsidR="002B5119" w:rsidRPr="00945493" w:rsidRDefault="002B5119" w:rsidP="00861B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2B5119" w:rsidRDefault="002B5119" w:rsidP="002637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Действующими нормативными актами –  Административным регламентом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утверждённого приказом Ростехнадзора от 25 ноября 2016 г. № 494 и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B5119" w:rsidRPr="00945493" w:rsidRDefault="002B5119" w:rsidP="00E678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утверждённых приказом Ростехнадзора от 25 ноября 2016 г. № 495  не ограничивается право организации исключить ОПО из государственного реестра до регистрации его новым собственником.</w:t>
            </w:r>
          </w:p>
        </w:tc>
      </w:tr>
      <w:tr w:rsidR="002B5119" w:rsidRPr="003F79F0" w:rsidTr="002B5119">
        <w:tc>
          <w:tcPr>
            <w:tcW w:w="425" w:type="dxa"/>
          </w:tcPr>
          <w:p w:rsidR="002B5119" w:rsidRPr="003F79F0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3F79F0" w:rsidRDefault="002B5119" w:rsidP="004476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F79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Отсутствуют регламентирующий документ  к  Правилам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метрополитенах") по  форме уведомления о вводе объекта  в эксплуатацию (выводе объекта из эксплуатации),  акта контрольного осмотра объекта и акта ввода объекта в эксплуатацию.</w:t>
            </w:r>
          </w:p>
        </w:tc>
        <w:tc>
          <w:tcPr>
            <w:tcW w:w="5103" w:type="dxa"/>
          </w:tcPr>
          <w:p w:rsidR="002B5119" w:rsidRPr="003F79F0" w:rsidRDefault="002B5119" w:rsidP="007252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Приказом Ростехнадзора от 14.08.2017 № 309 (зарегистрирован в Минюсте 07.12.2017 </w:t>
            </w:r>
            <w:proofErr w:type="spellStart"/>
            <w:r w:rsidRPr="003F7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</w:t>
            </w:r>
            <w:proofErr w:type="spellEnd"/>
            <w:r w:rsidRPr="003F7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№ 49165) определены </w:t>
            </w:r>
            <w:r w:rsidRPr="003F79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формы уведомления о вводе объекта  в эксплуатацию (выводе объекта из эксплуатации),  акта контрольного осмотра объекта и акта ввода объекта в эксплуатацию.</w:t>
            </w:r>
          </w:p>
        </w:tc>
      </w:tr>
      <w:tr w:rsidR="002B5119" w:rsidRPr="00404B2A" w:rsidTr="002B5119">
        <w:tc>
          <w:tcPr>
            <w:tcW w:w="425" w:type="dxa"/>
          </w:tcPr>
          <w:p w:rsidR="002B5119" w:rsidRPr="00584885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404B2A" w:rsidRDefault="002B5119" w:rsidP="00C3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 xml:space="preserve">Пункт 17 Правил организации безопасного использования лифтов предусматривает наличие в штате организации по обслуживанию лифта квалифицированного персонала, уровень квалификации которого должен соответствовать требованиям профессиональных стандартов. 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№ 238 – ФЗ предусмотрена независимая оценка квалификации.</w:t>
            </w:r>
            <w:r w:rsidRPr="0040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Является ли независимая оценка квалификации обязательной?</w:t>
            </w:r>
          </w:p>
        </w:tc>
        <w:tc>
          <w:tcPr>
            <w:tcW w:w="5103" w:type="dxa"/>
          </w:tcPr>
          <w:p w:rsidR="002B5119" w:rsidRPr="00404B2A" w:rsidRDefault="002B5119" w:rsidP="00FE1A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Согласно разъяснениям Минтруда от 06.12.2017 № 14-4/10/П8289 данными союзу «Общероссийское отраслевое объединение работодателей лифтовой отрасли и сферы вертикального транспорта «Федерация лифтовых предприятий» 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квалификации персонала, обслуживающего лифты является  обязательной.</w:t>
            </w:r>
          </w:p>
        </w:tc>
      </w:tr>
      <w:tr w:rsidR="002B5119" w:rsidRPr="00584885" w:rsidTr="002B5119">
        <w:tc>
          <w:tcPr>
            <w:tcW w:w="425" w:type="dxa"/>
          </w:tcPr>
          <w:p w:rsidR="002B5119" w:rsidRPr="00404B2A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404B2A" w:rsidRDefault="002B5119" w:rsidP="008A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С 1 января 2018 года вступают в силу п.2 приказа Ростехнадзора №495 «Об утверждении требований к регистрации объектов в государственном реестре ОПО и ведению государственного реестра ОПО», а также п. 11 этих Требо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и приложение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ab/>
              <w:t>№1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ab/>
              <w:t>к Требованиям.</w:t>
            </w:r>
          </w:p>
          <w:p w:rsidR="002B5119" w:rsidRPr="00404B2A" w:rsidRDefault="002B5119" w:rsidP="0016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b/>
                <w:bCs/>
                <w:sz w:val="24"/>
                <w:szCs w:val="24"/>
              </w:rPr>
              <w:t>Вопрос: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 xml:space="preserve"> Когда следует привести в соответствие с Требованиями наименова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зарегистрированных ОПО? </w:t>
            </w:r>
          </w:p>
        </w:tc>
        <w:tc>
          <w:tcPr>
            <w:tcW w:w="5103" w:type="dxa"/>
          </w:tcPr>
          <w:p w:rsidR="002B5119" w:rsidRPr="00404B2A" w:rsidRDefault="002B5119" w:rsidP="00FE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В соответствии с п. 11 Требований</w:t>
            </w:r>
            <w:r w:rsidRPr="00404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утверждённых приказом Ростехнадзора от 25 ноября 2016 г. № 495 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приведение в соответствие наименований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сведения, содержащиеся в государственном реестре опасных производственных объектов.</w:t>
            </w:r>
          </w:p>
        </w:tc>
      </w:tr>
      <w:tr w:rsidR="002B5119" w:rsidRPr="00404B2A" w:rsidTr="002B5119">
        <w:tc>
          <w:tcPr>
            <w:tcW w:w="425" w:type="dxa"/>
          </w:tcPr>
          <w:p w:rsidR="002B5119" w:rsidRPr="00404B2A" w:rsidRDefault="002B5119" w:rsidP="009215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B5119" w:rsidRPr="00404B2A" w:rsidRDefault="002B5119" w:rsidP="00C7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безопасного использования лифтов предусматривает наличие в штате управляющей компании квалифицированного персонала  по обслуживанию лифтов (ответственного за организацию безопасн</w:t>
            </w:r>
            <w:r w:rsidR="00E67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й эксплуатации лифтов). Необходимо ли иметь управляющей компании  персонал по обслуживанию лифтов если заключен договор на эксплуатацию лифтов со специализированной организацией?</w:t>
            </w:r>
          </w:p>
        </w:tc>
        <w:tc>
          <w:tcPr>
            <w:tcW w:w="5103" w:type="dxa"/>
          </w:tcPr>
          <w:p w:rsidR="002B5119" w:rsidRPr="00404B2A" w:rsidRDefault="002B5119" w:rsidP="00E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В соответствии с п. 4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24.06.2017 № 743 владелец лифта должен назначить ответственного за организацию эксплуатации объектов, который будет контролировать  выполнение специализированной организацией договорных обязательств.</w:t>
            </w:r>
          </w:p>
        </w:tc>
      </w:tr>
    </w:tbl>
    <w:p w:rsidR="00921542" w:rsidRPr="007A54FC" w:rsidRDefault="00921542" w:rsidP="007A54FC">
      <w:pPr>
        <w:jc w:val="both"/>
        <w:rPr>
          <w:sz w:val="28"/>
          <w:szCs w:val="28"/>
        </w:rPr>
      </w:pPr>
    </w:p>
    <w:sectPr w:rsidR="00921542" w:rsidRPr="007A54FC" w:rsidSect="00C2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476"/>
    <w:multiLevelType w:val="hybridMultilevel"/>
    <w:tmpl w:val="C66E1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475C9"/>
    <w:multiLevelType w:val="multilevel"/>
    <w:tmpl w:val="F34C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27209"/>
    <w:multiLevelType w:val="hybridMultilevel"/>
    <w:tmpl w:val="5026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3C13"/>
    <w:multiLevelType w:val="multilevel"/>
    <w:tmpl w:val="CFF0C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B5D5D"/>
    <w:multiLevelType w:val="hybridMultilevel"/>
    <w:tmpl w:val="171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3EFA"/>
    <w:rsid w:val="000221D0"/>
    <w:rsid w:val="00025FE8"/>
    <w:rsid w:val="00043E04"/>
    <w:rsid w:val="000805E8"/>
    <w:rsid w:val="000F1A25"/>
    <w:rsid w:val="00132072"/>
    <w:rsid w:val="00145C55"/>
    <w:rsid w:val="0015216E"/>
    <w:rsid w:val="00167ED3"/>
    <w:rsid w:val="00184E6F"/>
    <w:rsid w:val="001C2577"/>
    <w:rsid w:val="001C2B90"/>
    <w:rsid w:val="002151CA"/>
    <w:rsid w:val="00217AE3"/>
    <w:rsid w:val="00222FF3"/>
    <w:rsid w:val="00246D0E"/>
    <w:rsid w:val="00263722"/>
    <w:rsid w:val="00274D96"/>
    <w:rsid w:val="002A3A3E"/>
    <w:rsid w:val="002B1839"/>
    <w:rsid w:val="002B5119"/>
    <w:rsid w:val="002B530A"/>
    <w:rsid w:val="002D1AE9"/>
    <w:rsid w:val="002E5D73"/>
    <w:rsid w:val="002F2593"/>
    <w:rsid w:val="00316389"/>
    <w:rsid w:val="00317B37"/>
    <w:rsid w:val="0033303E"/>
    <w:rsid w:val="00383C97"/>
    <w:rsid w:val="003D3ADE"/>
    <w:rsid w:val="003F79F0"/>
    <w:rsid w:val="00404B2A"/>
    <w:rsid w:val="00430561"/>
    <w:rsid w:val="00441236"/>
    <w:rsid w:val="0044334B"/>
    <w:rsid w:val="004476B2"/>
    <w:rsid w:val="00447716"/>
    <w:rsid w:val="004544A1"/>
    <w:rsid w:val="004A38F0"/>
    <w:rsid w:val="004C04EF"/>
    <w:rsid w:val="004D43E1"/>
    <w:rsid w:val="004F2BBF"/>
    <w:rsid w:val="00501213"/>
    <w:rsid w:val="00504DA6"/>
    <w:rsid w:val="00511571"/>
    <w:rsid w:val="00526E1C"/>
    <w:rsid w:val="00565685"/>
    <w:rsid w:val="005807FE"/>
    <w:rsid w:val="00584885"/>
    <w:rsid w:val="005B0C6B"/>
    <w:rsid w:val="005D67C1"/>
    <w:rsid w:val="005E7157"/>
    <w:rsid w:val="006010A1"/>
    <w:rsid w:val="006453AC"/>
    <w:rsid w:val="00662BD5"/>
    <w:rsid w:val="00672CEF"/>
    <w:rsid w:val="006923E5"/>
    <w:rsid w:val="006E3661"/>
    <w:rsid w:val="006E6B85"/>
    <w:rsid w:val="00725250"/>
    <w:rsid w:val="007524B0"/>
    <w:rsid w:val="007556A3"/>
    <w:rsid w:val="007570EC"/>
    <w:rsid w:val="007A54FC"/>
    <w:rsid w:val="007D5408"/>
    <w:rsid w:val="007E1DF6"/>
    <w:rsid w:val="008555AC"/>
    <w:rsid w:val="008565BA"/>
    <w:rsid w:val="00861BAF"/>
    <w:rsid w:val="008664FB"/>
    <w:rsid w:val="008674EE"/>
    <w:rsid w:val="00884E6E"/>
    <w:rsid w:val="008A224C"/>
    <w:rsid w:val="008B5995"/>
    <w:rsid w:val="008E0A71"/>
    <w:rsid w:val="008F32EB"/>
    <w:rsid w:val="00902B41"/>
    <w:rsid w:val="00907E3B"/>
    <w:rsid w:val="00920828"/>
    <w:rsid w:val="00921542"/>
    <w:rsid w:val="0094304B"/>
    <w:rsid w:val="00945493"/>
    <w:rsid w:val="009542CB"/>
    <w:rsid w:val="00964D32"/>
    <w:rsid w:val="009A49FB"/>
    <w:rsid w:val="009D37E2"/>
    <w:rsid w:val="009E2F25"/>
    <w:rsid w:val="00A00BC7"/>
    <w:rsid w:val="00A0531F"/>
    <w:rsid w:val="00A625DB"/>
    <w:rsid w:val="00A6528C"/>
    <w:rsid w:val="00A72FC6"/>
    <w:rsid w:val="00A87FCC"/>
    <w:rsid w:val="00A974AE"/>
    <w:rsid w:val="00AC3D31"/>
    <w:rsid w:val="00AF55B7"/>
    <w:rsid w:val="00AF784C"/>
    <w:rsid w:val="00B0326D"/>
    <w:rsid w:val="00B03C42"/>
    <w:rsid w:val="00B13B8A"/>
    <w:rsid w:val="00B17175"/>
    <w:rsid w:val="00B27654"/>
    <w:rsid w:val="00B37FB5"/>
    <w:rsid w:val="00B45D37"/>
    <w:rsid w:val="00B85D71"/>
    <w:rsid w:val="00BD6AE6"/>
    <w:rsid w:val="00C02AB4"/>
    <w:rsid w:val="00C16124"/>
    <w:rsid w:val="00C233A7"/>
    <w:rsid w:val="00C25834"/>
    <w:rsid w:val="00C373EF"/>
    <w:rsid w:val="00C624E9"/>
    <w:rsid w:val="00C63E7D"/>
    <w:rsid w:val="00C70A96"/>
    <w:rsid w:val="00C86AA7"/>
    <w:rsid w:val="00C911CC"/>
    <w:rsid w:val="00CB65CE"/>
    <w:rsid w:val="00CD05B1"/>
    <w:rsid w:val="00CF1E5F"/>
    <w:rsid w:val="00D251A3"/>
    <w:rsid w:val="00D34648"/>
    <w:rsid w:val="00D4137E"/>
    <w:rsid w:val="00D528F5"/>
    <w:rsid w:val="00D53D76"/>
    <w:rsid w:val="00D56E1F"/>
    <w:rsid w:val="00D80BE3"/>
    <w:rsid w:val="00DD3E13"/>
    <w:rsid w:val="00DD4DF9"/>
    <w:rsid w:val="00DF370B"/>
    <w:rsid w:val="00E01F10"/>
    <w:rsid w:val="00E03AB5"/>
    <w:rsid w:val="00E06982"/>
    <w:rsid w:val="00E33EFA"/>
    <w:rsid w:val="00E404D5"/>
    <w:rsid w:val="00E47724"/>
    <w:rsid w:val="00E5505A"/>
    <w:rsid w:val="00E67816"/>
    <w:rsid w:val="00E679A0"/>
    <w:rsid w:val="00E8078C"/>
    <w:rsid w:val="00E91C6B"/>
    <w:rsid w:val="00ED0B02"/>
    <w:rsid w:val="00ED0B36"/>
    <w:rsid w:val="00ED545E"/>
    <w:rsid w:val="00F155A1"/>
    <w:rsid w:val="00F51DBC"/>
    <w:rsid w:val="00F65340"/>
    <w:rsid w:val="00F81C76"/>
    <w:rsid w:val="00F96217"/>
    <w:rsid w:val="00FC3F0C"/>
    <w:rsid w:val="00FD6C72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4"/>
  </w:style>
  <w:style w:type="paragraph" w:styleId="1">
    <w:name w:val="heading 1"/>
    <w:basedOn w:val="a"/>
    <w:link w:val="10"/>
    <w:uiPriority w:val="9"/>
    <w:qFormat/>
    <w:rsid w:val="0092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FA"/>
    <w:pPr>
      <w:ind w:left="720"/>
      <w:contextualSpacing/>
    </w:pPr>
  </w:style>
  <w:style w:type="table" w:styleId="a4">
    <w:name w:val="Table Grid"/>
    <w:basedOn w:val="a1"/>
    <w:uiPriority w:val="59"/>
    <w:rsid w:val="0092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215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2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C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BAF"/>
  </w:style>
  <w:style w:type="character" w:customStyle="1" w:styleId="FontStyle18">
    <w:name w:val="Font Style18"/>
    <w:basedOn w:val="a0"/>
    <w:uiPriority w:val="99"/>
    <w:rsid w:val="00861B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61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61B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861B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861BA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1BAF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7B37"/>
    <w:rPr>
      <w:b/>
      <w:bCs/>
    </w:rPr>
  </w:style>
  <w:style w:type="paragraph" w:customStyle="1" w:styleId="headertext">
    <w:name w:val="headertext"/>
    <w:basedOn w:val="a"/>
    <w:rsid w:val="005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8A22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8A224C"/>
    <w:rPr>
      <w:b/>
      <w:bCs/>
    </w:rPr>
  </w:style>
  <w:style w:type="paragraph" w:customStyle="1" w:styleId="11">
    <w:name w:val="Основной текст1"/>
    <w:basedOn w:val="a"/>
    <w:link w:val="a8"/>
    <w:rsid w:val="008A224C"/>
    <w:pPr>
      <w:shd w:val="clear" w:color="auto" w:fill="FFFFFF"/>
      <w:spacing w:after="42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.FORMATTEXT"/>
    <w:uiPriority w:val="99"/>
    <w:rsid w:val="008E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tch">
    <w:name w:val="match"/>
    <w:basedOn w:val="a0"/>
    <w:rsid w:val="00F51DBC"/>
  </w:style>
  <w:style w:type="paragraph" w:customStyle="1" w:styleId="ConsPlusTitle">
    <w:name w:val="ConsPlusTitle"/>
    <w:uiPriority w:val="99"/>
    <w:rsid w:val="00274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akalimullin</cp:lastModifiedBy>
  <cp:revision>2</cp:revision>
  <cp:lastPrinted>2017-12-20T11:54:00Z</cp:lastPrinted>
  <dcterms:created xsi:type="dcterms:W3CDTF">2018-01-09T09:13:00Z</dcterms:created>
  <dcterms:modified xsi:type="dcterms:W3CDTF">2018-01-09T09:13:00Z</dcterms:modified>
</cp:coreProperties>
</file>